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4DD2" w:rsidRDefault="00CC4DD2">
      <w:pPr>
        <w:jc w:val="center"/>
        <w:rPr>
          <w:szCs w:val="28"/>
        </w:rPr>
      </w:pPr>
    </w:p>
    <w:p w:rsidR="00CC4DD2" w:rsidRPr="00B838D4" w:rsidRDefault="00CC4DD2">
      <w:pPr>
        <w:jc w:val="center"/>
        <w:rPr>
          <w:b/>
        </w:rPr>
      </w:pPr>
      <w:r w:rsidRPr="00B838D4">
        <w:rPr>
          <w:rFonts w:ascii="Times New Roman" w:hAnsi="Times New Roman" w:cs="Times New Roman"/>
          <w:b/>
          <w:sz w:val="28"/>
          <w:szCs w:val="28"/>
        </w:rPr>
        <w:t xml:space="preserve">Звіт </w:t>
      </w:r>
    </w:p>
    <w:p w:rsidR="00CC4DD2" w:rsidRPr="00B838D4" w:rsidRDefault="00CC4DD2" w:rsidP="00B838D4">
      <w:pPr>
        <w:jc w:val="center"/>
        <w:rPr>
          <w:b/>
          <w:lang w:val="ru-RU"/>
        </w:rPr>
      </w:pPr>
      <w:r w:rsidRPr="00B838D4">
        <w:rPr>
          <w:rFonts w:ascii="Times New Roman" w:hAnsi="Times New Roman" w:cs="Times New Roman"/>
          <w:b/>
          <w:sz w:val="28"/>
          <w:szCs w:val="28"/>
        </w:rPr>
        <w:t xml:space="preserve">про роботу комунальної установи “Територіальний центр соціального обслуговування (надання соціальних послуг) </w:t>
      </w:r>
      <w:r w:rsidR="00B838D4" w:rsidRPr="00B838D4">
        <w:rPr>
          <w:b/>
          <w:lang w:val="ru-RU"/>
        </w:rPr>
        <w:t xml:space="preserve"> </w:t>
      </w:r>
      <w:r w:rsidRPr="00B838D4">
        <w:rPr>
          <w:rFonts w:ascii="Times New Roman" w:hAnsi="Times New Roman" w:cs="Times New Roman"/>
          <w:b/>
          <w:sz w:val="28"/>
          <w:szCs w:val="28"/>
        </w:rPr>
        <w:t>Луцької міської територіальної громади”</w:t>
      </w:r>
      <w:r w:rsidR="00B838D4" w:rsidRPr="00B838D4">
        <w:rPr>
          <w:rFonts w:ascii="Times New Roman" w:hAnsi="Times New Roman" w:cs="Times New Roman"/>
          <w:b/>
          <w:sz w:val="28"/>
          <w:szCs w:val="28"/>
          <w:lang w:val="ru-RU"/>
        </w:rPr>
        <w:t xml:space="preserve"> (</w:t>
      </w:r>
      <w:r w:rsidR="00B838D4">
        <w:rPr>
          <w:rFonts w:ascii="Times New Roman" w:hAnsi="Times New Roman" w:cs="Times New Roman"/>
          <w:b/>
          <w:sz w:val="28"/>
          <w:szCs w:val="28"/>
          <w:lang w:val="ru-RU"/>
        </w:rPr>
        <w:t>далі – територіальний центр</w:t>
      </w:r>
      <w:r w:rsidR="00B838D4" w:rsidRPr="00B838D4">
        <w:rPr>
          <w:rFonts w:ascii="Times New Roman" w:hAnsi="Times New Roman" w:cs="Times New Roman"/>
          <w:b/>
          <w:sz w:val="28"/>
          <w:szCs w:val="28"/>
          <w:lang w:val="ru-RU"/>
        </w:rPr>
        <w:t>)</w:t>
      </w:r>
      <w:r w:rsidR="00B838D4">
        <w:rPr>
          <w:b/>
          <w:lang w:val="ru-RU"/>
        </w:rPr>
        <w:t xml:space="preserve"> </w:t>
      </w:r>
      <w:r w:rsidRPr="00B838D4">
        <w:rPr>
          <w:rFonts w:ascii="Times New Roman" w:hAnsi="Times New Roman" w:cs="Times New Roman"/>
          <w:b/>
          <w:sz w:val="28"/>
          <w:szCs w:val="28"/>
        </w:rPr>
        <w:t>за 2022 рік</w:t>
      </w:r>
    </w:p>
    <w:p w:rsidR="00CC4DD2" w:rsidRDefault="00CC4DD2">
      <w:pPr>
        <w:jc w:val="center"/>
      </w:pPr>
      <w:r>
        <w:rPr>
          <w:rFonts w:ascii="Times New Roman" w:hAnsi="Times New Roman" w:cs="Times New Roman"/>
          <w:sz w:val="28"/>
          <w:szCs w:val="28"/>
        </w:rPr>
        <w:tab/>
      </w:r>
    </w:p>
    <w:p w:rsidR="00CC4DD2" w:rsidRDefault="00CC4DD2">
      <w:pPr>
        <w:jc w:val="both"/>
      </w:pPr>
      <w:r>
        <w:rPr>
          <w:rFonts w:ascii="Times New Roman" w:hAnsi="Times New Roman" w:cs="Times New Roman"/>
          <w:sz w:val="28"/>
          <w:szCs w:val="28"/>
        </w:rPr>
        <w:tab/>
        <w:t xml:space="preserve">Територіальний центр — це установа, яка надає соціальні послуги особам похилого віку, особам з інвалідністю, особам, які перебувають у складних життєвих обставинах </w:t>
      </w:r>
      <w:r>
        <w:rPr>
          <w:rFonts w:ascii="Times New Roman" w:hAnsi="Times New Roman" w:cs="Times New Roman"/>
          <w:color w:val="000000"/>
          <w:sz w:val="28"/>
          <w:szCs w:val="28"/>
        </w:rPr>
        <w:t>з метою подолання або мінімізації цих обставин за місцем проживання / перебування таких осіб чи у приміщенні територіального центру.</w:t>
      </w:r>
    </w:p>
    <w:p w:rsidR="00CC4DD2" w:rsidRDefault="00CC4DD2">
      <w:pPr>
        <w:tabs>
          <w:tab w:val="left" w:pos="-1985"/>
        </w:tabs>
        <w:jc w:val="both"/>
      </w:pPr>
      <w:r>
        <w:rPr>
          <w:rFonts w:ascii="Times New Roman" w:hAnsi="Times New Roman" w:cs="Times New Roman"/>
          <w:sz w:val="28"/>
          <w:szCs w:val="28"/>
        </w:rPr>
        <w:tab/>
      </w:r>
      <w:r>
        <w:rPr>
          <w:rFonts w:ascii="Times New Roman" w:hAnsi="Times New Roman" w:cs="Times New Roman"/>
          <w:color w:val="000000"/>
          <w:sz w:val="28"/>
          <w:szCs w:val="28"/>
        </w:rPr>
        <w:t>Станом на 01.01.2023 року структурними підрозділами територіального центру обслуговується 3752 мешканці громади, з яких 948 отримують послугу догляду вдома (за місцем проживання), з них 109 у сільській місцевості. Всього ж за звітний період обслужено 4582 громадян, яким надано 386 227 соціальних послуги.</w:t>
      </w:r>
    </w:p>
    <w:p w:rsidR="00CC4DD2" w:rsidRDefault="00CC4DD2">
      <w:pPr>
        <w:jc w:val="both"/>
      </w:pPr>
      <w:r>
        <w:rPr>
          <w:rFonts w:ascii="Times New Roman" w:hAnsi="Times New Roman" w:cs="Times New Roman"/>
          <w:bCs/>
          <w:iCs/>
        </w:rPr>
        <w:tab/>
      </w:r>
      <w:r>
        <w:rPr>
          <w:rFonts w:ascii="Times New Roman" w:hAnsi="Times New Roman" w:cs="Times New Roman"/>
          <w:bCs/>
          <w:iCs/>
          <w:sz w:val="28"/>
          <w:szCs w:val="28"/>
        </w:rPr>
        <w:t xml:space="preserve">Від початку введення в Україні воєнного стану, установа жодного дня не припиняла роботу, всі структурні підрозділи працювали в штатному режимі.  </w:t>
      </w:r>
    </w:p>
    <w:p w:rsidR="00CC4DD2" w:rsidRDefault="00CC4DD2">
      <w:pPr>
        <w:tabs>
          <w:tab w:val="left" w:pos="-1985"/>
        </w:tabs>
        <w:jc w:val="both"/>
      </w:pPr>
      <w:r>
        <w:rPr>
          <w:rFonts w:ascii="Times New Roman" w:hAnsi="Times New Roman" w:cs="Times New Roman"/>
          <w:bCs/>
          <w:iCs/>
          <w:color w:val="000000"/>
          <w:sz w:val="28"/>
          <w:szCs w:val="28"/>
        </w:rPr>
        <w:tab/>
        <w:t>Серед послуг, які надаються структурними підрозділами установи, є послуга із забезпечення щоденними гарячими обідами протягом двох місяців на рік безкоштовно. Так, протягом звітного періоду в їдальні терцентру забезпечено харчуванням за кошти міського бюджету 3849 осіб.</w:t>
      </w:r>
    </w:p>
    <w:p w:rsidR="00CC4DD2" w:rsidRDefault="00CC4DD2">
      <w:pPr>
        <w:tabs>
          <w:tab w:val="left" w:pos="-1985"/>
        </w:tabs>
        <w:jc w:val="both"/>
      </w:pPr>
      <w:r>
        <w:rPr>
          <w:rFonts w:ascii="Times New Roman" w:hAnsi="Times New Roman" w:cs="Times New Roman"/>
          <w:bCs/>
          <w:iCs/>
          <w:color w:val="000000"/>
          <w:sz w:val="28"/>
          <w:szCs w:val="28"/>
        </w:rPr>
        <w:tab/>
        <w:t>Підопічні установи періодично забезпечуються продуктовими наборами придбаними за кошти міського бюджету, або ж надані благодійниками. Протягом звітного періоду всім отримувачам соціальних послуг установи було тричі вручено продуктові набори: в період з травня по липень від БФ “Фонд Ігоря Палиці “Тільки разом”, у вересні до Дня міста — за кошти міського бюджету, у грудні до Різдвяно-Новорічних свят за кошти міського бюджету та БФ “Фонд Ігоря Палиці “Тільки разом”.</w:t>
      </w:r>
    </w:p>
    <w:p w:rsidR="00CC4DD2" w:rsidRDefault="00CC4DD2">
      <w:pPr>
        <w:tabs>
          <w:tab w:val="left" w:pos="-1985"/>
        </w:tabs>
        <w:jc w:val="both"/>
      </w:pPr>
      <w:r>
        <w:rPr>
          <w:rFonts w:ascii="Times New Roman" w:hAnsi="Times New Roman" w:cs="Times New Roman"/>
          <w:bCs/>
          <w:iCs/>
          <w:color w:val="000000"/>
          <w:sz w:val="28"/>
          <w:szCs w:val="28"/>
        </w:rPr>
        <w:tab/>
        <w:t xml:space="preserve">Територіальний центр забезпечує надання соціальних послуг у визначеному законодавством </w:t>
      </w:r>
      <w:hyperlink r:id="rId7" w:anchor="_blank" w:history="1">
        <w:r>
          <w:rPr>
            <w:rStyle w:val="a3"/>
            <w:rFonts w:ascii="Times New Roman" w:hAnsi="Times New Roman" w:cs="Times New Roman"/>
            <w:bCs/>
            <w:iCs/>
            <w:color w:val="000000"/>
            <w:sz w:val="28"/>
            <w:szCs w:val="28"/>
            <w:highlight w:val="white"/>
            <w:u w:val="none"/>
            <w:lang w:val="uk-UA"/>
          </w:rPr>
          <w:t>поряд</w:t>
        </w:r>
      </w:hyperlink>
      <w:r>
        <w:rPr>
          <w:rFonts w:ascii="Times New Roman" w:hAnsi="Times New Roman" w:cs="Times New Roman"/>
          <w:bCs/>
          <w:iCs/>
          <w:color w:val="000000"/>
          <w:sz w:val="28"/>
          <w:szCs w:val="28"/>
        </w:rPr>
        <w:t>ку:</w:t>
      </w:r>
    </w:p>
    <w:p w:rsidR="00CC4DD2" w:rsidRDefault="00CC4DD2">
      <w:pPr>
        <w:jc w:val="both"/>
      </w:pPr>
      <w:r>
        <w:rPr>
          <w:color w:val="000000"/>
          <w:sz w:val="28"/>
          <w:szCs w:val="28"/>
        </w:rPr>
        <w:tab/>
      </w:r>
      <w:r>
        <w:rPr>
          <w:rFonts w:ascii="Times New Roman" w:hAnsi="Times New Roman" w:cs="Times New Roman"/>
          <w:color w:val="000000"/>
          <w:sz w:val="28"/>
          <w:szCs w:val="28"/>
        </w:rPr>
        <w:t>за рахунок бюджетних коштів (безоплатно);</w:t>
      </w:r>
    </w:p>
    <w:p w:rsidR="00CC4DD2" w:rsidRDefault="00DC3537">
      <w:pPr>
        <w:jc w:val="both"/>
      </w:pPr>
      <w:r>
        <w:rPr>
          <w:rFonts w:ascii="Times New Roman" w:hAnsi="Times New Roman" w:cs="Times New Roman"/>
          <w:color w:val="000000"/>
          <w:sz w:val="28"/>
          <w:szCs w:val="28"/>
        </w:rPr>
        <w:tab/>
      </w:r>
      <w:r w:rsidR="00CC4DD2">
        <w:rPr>
          <w:rFonts w:ascii="Times New Roman" w:hAnsi="Times New Roman" w:cs="Times New Roman"/>
          <w:color w:val="000000"/>
          <w:sz w:val="28"/>
          <w:szCs w:val="28"/>
        </w:rPr>
        <w:t>з установленням диференційованої плати;</w:t>
      </w:r>
    </w:p>
    <w:p w:rsidR="00CC4DD2" w:rsidRDefault="00DC3537">
      <w:pPr>
        <w:tabs>
          <w:tab w:val="left" w:pos="-1985"/>
        </w:tabs>
        <w:jc w:val="both"/>
      </w:pPr>
      <w:r>
        <w:rPr>
          <w:rFonts w:ascii="Times New Roman" w:hAnsi="Times New Roman" w:cs="Times New Roman"/>
          <w:bCs/>
          <w:iCs/>
          <w:color w:val="000000"/>
          <w:sz w:val="28"/>
          <w:szCs w:val="28"/>
        </w:rPr>
        <w:tab/>
      </w:r>
      <w:r w:rsidR="00CC4DD2">
        <w:rPr>
          <w:rFonts w:ascii="Times New Roman" w:hAnsi="Times New Roman" w:cs="Times New Roman"/>
          <w:bCs/>
          <w:iCs/>
          <w:color w:val="000000"/>
          <w:sz w:val="28"/>
          <w:szCs w:val="28"/>
        </w:rPr>
        <w:t>платно (за рахунок отримувача соціальних послуг або третіх осіб).</w:t>
      </w:r>
    </w:p>
    <w:p w:rsidR="00CC4DD2" w:rsidRDefault="00CC4DD2">
      <w:pPr>
        <w:tabs>
          <w:tab w:val="left" w:pos="-1985"/>
        </w:tabs>
        <w:jc w:val="both"/>
      </w:pPr>
      <w:r>
        <w:rPr>
          <w:rFonts w:ascii="Times New Roman" w:hAnsi="Times New Roman" w:cs="Times New Roman"/>
          <w:bCs/>
          <w:iCs/>
          <w:color w:val="000000"/>
          <w:sz w:val="28"/>
          <w:szCs w:val="28"/>
        </w:rPr>
        <w:tab/>
        <w:t xml:space="preserve">Відповідно до розпорядження міського голови від 09.03.2022 року № 80 “Про забезпечення безкоштовного надання соціальних послуг на період дії воєнного стану” зі змінами, послуги догляду вдома, денного догляду, паліативного догляду та інші надаються структурними підрозділами територіального центру за рахунок  коштів бюджету Луцької міської територіальної громади (безоплатно). Також, даним розпорядженням, територіальному центру було доручено забезпечити надання соціальної послуги паліативного догляду на базі частини першого поверху окремого акушерського корпусу комунального підприємства “Луцький клінічний пологовий будинок” громадянам похилого віку, особам з інвалідністю, які є мешканцями Луцької міської територіальної громади, опинились в складних життєвих обставинах, потребували сторонньої допомоги та, в умовах воєнного стану, залишились без допомоги рідних та близьких людей. В період з березня до 15 серпня поточного року послугу  паліативного догляду тут отримували 13 осіб. Послуга надавалась в межах штатної чисельності працівників установи. З 15.08.2022 року відповідно до вище зазначеного розпорядження, громадяни, які отримували послугу паліативного догляду були оформлені на </w:t>
      </w:r>
      <w:r>
        <w:rPr>
          <w:rFonts w:ascii="Times New Roman" w:hAnsi="Times New Roman" w:cs="Times New Roman"/>
          <w:bCs/>
          <w:iCs/>
          <w:color w:val="000000"/>
          <w:sz w:val="28"/>
          <w:szCs w:val="28"/>
        </w:rPr>
        <w:lastRenderedPageBreak/>
        <w:t xml:space="preserve">постійне проживання до стаціонарних закладів області або доставлені за місцем проживання у зв’язку із поверненням родичів. </w:t>
      </w:r>
    </w:p>
    <w:p w:rsidR="00CC4DD2" w:rsidRDefault="00CC4DD2">
      <w:pPr>
        <w:tabs>
          <w:tab w:val="left" w:pos="-1985"/>
        </w:tabs>
        <w:jc w:val="both"/>
      </w:pPr>
      <w:r>
        <w:rPr>
          <w:rFonts w:ascii="Times New Roman" w:hAnsi="Times New Roman" w:cs="Times New Roman"/>
          <w:bCs/>
          <w:iCs/>
          <w:color w:val="000000"/>
          <w:sz w:val="28"/>
          <w:szCs w:val="28"/>
        </w:rPr>
        <w:tab/>
        <w:t xml:space="preserve">Крім мешканців Луцької міської територіальної громади, від початку введення воєнного стану в Україні, установа надає допомогу вимушено переміщеним громадянам, які зареєструвалися у департаменті соціальної політики луцької міської ради, про що мають відповідну довідку. Допомога надається  продуктами харчування, одягом, взуттям, засобами гігієни, предметами домашнього вжитку, які надходять як благодійна допомога, від волонтерів, благодійних фондів та мешканців міста. Так, у 2022 надано допомогу 14 646 громадянам,  які є вимушено переміщеними особами  </w:t>
      </w:r>
    </w:p>
    <w:p w:rsidR="00CC4DD2" w:rsidRDefault="00CC4DD2">
      <w:pPr>
        <w:tabs>
          <w:tab w:val="left" w:pos="-1985"/>
        </w:tabs>
        <w:jc w:val="both"/>
      </w:pPr>
      <w:r>
        <w:rPr>
          <w:rFonts w:ascii="Times New Roman" w:hAnsi="Times New Roman" w:cs="Times New Roman"/>
          <w:bCs/>
          <w:iCs/>
          <w:color w:val="000000"/>
          <w:sz w:val="28"/>
          <w:szCs w:val="28"/>
        </w:rPr>
        <w:tab/>
        <w:t>Також, відповідно до п.2 Рішення Луцької місь</w:t>
      </w:r>
      <w:r w:rsidR="00DC3537">
        <w:rPr>
          <w:rFonts w:ascii="Times New Roman" w:hAnsi="Times New Roman" w:cs="Times New Roman"/>
          <w:bCs/>
          <w:iCs/>
          <w:color w:val="000000"/>
          <w:sz w:val="28"/>
          <w:szCs w:val="28"/>
        </w:rPr>
        <w:t>кої від 26.07.2022 № 329-1   м. </w:t>
      </w:r>
      <w:r>
        <w:rPr>
          <w:rFonts w:ascii="Times New Roman" w:hAnsi="Times New Roman" w:cs="Times New Roman"/>
          <w:bCs/>
          <w:iCs/>
          <w:color w:val="000000"/>
          <w:sz w:val="28"/>
          <w:szCs w:val="28"/>
        </w:rPr>
        <w:t xml:space="preserve">Луцьк “Про розподіл продовольчої допомоги, наданої Всесвітньою продовольчою програмою ООН виконавчому комітету Луцької міської ради”, територіальний центр було включено у перелік установ, які визначено відповідальними виконавцями за розподіл продовольчої допомоги постраждалому від кризи населенню України, наданою Всесвітньою продовольчою програмою Організації Об’єднаних Націй”. З 29.07.2022 року територіальний центр розпочав видачу даної допомоги  з розрахунку 25 кг борошна та 5 кг гороху на сім’ю. Додатково до зазначених продуктів видавалось 3 банки по 0,5 л м’ясних консервів, наданих БФ “Фонд Ігоря Палиці “Тільки разом”. Допомогу отримали 2096 мешканців громади. </w:t>
      </w:r>
    </w:p>
    <w:p w:rsidR="00CC4DD2" w:rsidRDefault="00CC4DD2">
      <w:pPr>
        <w:tabs>
          <w:tab w:val="left" w:pos="-1985"/>
        </w:tabs>
        <w:jc w:val="both"/>
      </w:pPr>
      <w:r>
        <w:rPr>
          <w:rFonts w:ascii="Times New Roman" w:hAnsi="Times New Roman" w:cs="Times New Roman"/>
          <w:bCs/>
          <w:iCs/>
          <w:color w:val="000000"/>
          <w:sz w:val="28"/>
          <w:szCs w:val="28"/>
        </w:rPr>
        <w:tab/>
        <w:t>У листопаді-грудні, з ініціативи та за підтримки міського голови мешканцям Луцької міської територіальної громади, які мають інвалідність, надавалась допомога у вигляді макаронних виробів (20 кг) та м’ясних консервів (0,5л). Таку допомогу через територіальний центр отримали 2621 мешканців громади.</w:t>
      </w:r>
    </w:p>
    <w:p w:rsidR="00CC4DD2" w:rsidRDefault="00CC4DD2">
      <w:pPr>
        <w:tabs>
          <w:tab w:val="left" w:pos="-1985"/>
        </w:tabs>
        <w:jc w:val="both"/>
      </w:pPr>
      <w:r>
        <w:rPr>
          <w:rFonts w:ascii="Times New Roman" w:hAnsi="Times New Roman" w:cs="Times New Roman"/>
          <w:bCs/>
          <w:iCs/>
          <w:color w:val="000000"/>
          <w:sz w:val="28"/>
          <w:szCs w:val="28"/>
        </w:rPr>
        <w:tab/>
        <w:t>Всього ж за звітний період через установу було надано допомогу продуктами харчування 14 442 мешканцям громади.  Продукти харчування надані волонтерами, благодійними фондами та організаціями, мешканцями громади та придбані за кошти міського бюджету.</w:t>
      </w:r>
    </w:p>
    <w:p w:rsidR="00CC4DD2" w:rsidRDefault="00CC4DD2">
      <w:pPr>
        <w:tabs>
          <w:tab w:val="left" w:pos="-1985"/>
        </w:tabs>
        <w:jc w:val="both"/>
      </w:pPr>
      <w:bookmarkStart w:id="0" w:name="_GoBack"/>
      <w:bookmarkEnd w:id="0"/>
      <w:r>
        <w:rPr>
          <w:rFonts w:ascii="Times New Roman" w:hAnsi="Times New Roman" w:cs="Times New Roman"/>
          <w:bCs/>
          <w:iCs/>
          <w:color w:val="000000"/>
          <w:sz w:val="28"/>
          <w:szCs w:val="28"/>
        </w:rPr>
        <w:tab/>
        <w:t xml:space="preserve">Відповідно до рішення виконавчого комітету від 18.09.2019 року № 559-1 «Про забезпечення реалізації прав, свобод та інтересів повнолітніх осіб, які потребують опіки (піклування)» працівники установи  здійснюють  контроль за діяльністю опікунів. Протягом звітного періоду було здійснено 216 перевірок.  Виявлено факт невиконання опікуном своїх обов’язків по відношенню до недієздатного по 1 особі, відповідна інформація щодо цього подана для розгляду на засіданні опікунської ради.  </w:t>
      </w:r>
    </w:p>
    <w:p w:rsidR="00CC4DD2" w:rsidRPr="00DC3537" w:rsidRDefault="00CC4DD2">
      <w:pPr>
        <w:tabs>
          <w:tab w:val="left" w:pos="-1985"/>
        </w:tabs>
        <w:jc w:val="both"/>
      </w:pPr>
      <w:r>
        <w:rPr>
          <w:rFonts w:ascii="Times New Roman" w:hAnsi="Times New Roman" w:cs="Times New Roman"/>
          <w:bCs/>
          <w:iCs/>
          <w:color w:val="000000"/>
          <w:sz w:val="28"/>
          <w:szCs w:val="28"/>
        </w:rPr>
        <w:tab/>
        <w:t>Основними завданнями установи надалі залишаються виявлення громадян, які опинились у складних життєвих обставинах та надання їм якісних соціальних послуг.</w:t>
      </w:r>
    </w:p>
    <w:sectPr w:rsidR="00CC4DD2" w:rsidRPr="00DC3537" w:rsidSect="00B838D4">
      <w:headerReference w:type="default" r:id="rId8"/>
      <w:pgSz w:w="11906" w:h="16838"/>
      <w:pgMar w:top="510" w:right="567" w:bottom="510" w:left="1417"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385" w:rsidRDefault="00627385" w:rsidP="00B838D4">
      <w:r>
        <w:separator/>
      </w:r>
    </w:p>
  </w:endnote>
  <w:endnote w:type="continuationSeparator" w:id="0">
    <w:p w:rsidR="00627385" w:rsidRDefault="00627385" w:rsidP="00B8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oto Sans CJK SC Regular">
    <w:altName w:val="Times New Roman"/>
    <w:charset w:val="01"/>
    <w:family w:val="auto"/>
    <w:pitch w:val="variable"/>
  </w:font>
  <w:font w:name="Lohit Devanagari">
    <w:altName w:val="Times New Roman"/>
    <w:charset w:val="01"/>
    <w:family w:val="auto"/>
    <w:pitch w:val="variable"/>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385" w:rsidRDefault="00627385" w:rsidP="00B838D4">
      <w:r>
        <w:separator/>
      </w:r>
    </w:p>
  </w:footnote>
  <w:footnote w:type="continuationSeparator" w:id="0">
    <w:p w:rsidR="00627385" w:rsidRDefault="00627385" w:rsidP="00B83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D4" w:rsidRDefault="00B838D4">
    <w:pPr>
      <w:pStyle w:val="ad"/>
      <w:jc w:val="center"/>
    </w:pPr>
    <w:r>
      <w:fldChar w:fldCharType="begin"/>
    </w:r>
    <w:r>
      <w:instrText>PAGE   \* MERGEFORMAT</w:instrText>
    </w:r>
    <w:r>
      <w:fldChar w:fldCharType="separate"/>
    </w:r>
    <w:r w:rsidR="00962C30" w:rsidRPr="00962C30">
      <w:rPr>
        <w:noProof/>
        <w:lang w:val="ru-RU"/>
      </w:rPr>
      <w:t>2</w:t>
    </w:r>
    <w:r>
      <w:fldChar w:fldCharType="end"/>
    </w:r>
  </w:p>
  <w:p w:rsidR="00B838D4" w:rsidRDefault="00B838D4">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B4"/>
    <w:rsid w:val="004534B4"/>
    <w:rsid w:val="00627385"/>
    <w:rsid w:val="00893497"/>
    <w:rsid w:val="00962C30"/>
    <w:rsid w:val="00B838D4"/>
    <w:rsid w:val="00CC4DD2"/>
    <w:rsid w:val="00DC3537"/>
    <w:rsid w:val="00E351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Liberation Serif" w:eastAsia="Noto Sans CJK SC Regular" w:hAnsi="Liberation Serif" w:cs="Lohit Devanagari"/>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lang/>
    </w:rPr>
  </w:style>
  <w:style w:type="character" w:customStyle="1" w:styleId="a4">
    <w:name w:val="Маркери списку"/>
    <w:rPr>
      <w:rFonts w:ascii="OpenSymbol" w:eastAsia="OpenSymbol" w:hAnsi="OpenSymbol" w:cs="OpenSymbol"/>
    </w:rPr>
  </w:style>
  <w:style w:type="paragraph" w:customStyle="1" w:styleId="a5">
    <w:name w:val="Заголовок"/>
    <w:basedOn w:val="a"/>
    <w:next w:val="a6"/>
    <w:pPr>
      <w:keepNext/>
      <w:spacing w:before="240" w:after="120"/>
    </w:pPr>
    <w:rPr>
      <w:rFonts w:ascii="Liberation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a9">
    <w:name w:val="Покажчик"/>
    <w:basedOn w:val="a"/>
    <w:pPr>
      <w:suppressLineNumbers/>
    </w:pPr>
  </w:style>
  <w:style w:type="paragraph" w:customStyle="1" w:styleId="aa">
    <w:name w:val="Вміст таблиці"/>
    <w:basedOn w:val="a"/>
    <w:pPr>
      <w:suppressLineNumbers/>
    </w:pPr>
  </w:style>
  <w:style w:type="paragraph" w:customStyle="1" w:styleId="ab">
    <w:name w:val="Заголовок таблиці"/>
    <w:basedOn w:val="aa"/>
    <w:pPr>
      <w:jc w:val="center"/>
    </w:pPr>
    <w:rPr>
      <w:b/>
      <w:bCs/>
    </w:rPr>
  </w:style>
  <w:style w:type="paragraph" w:styleId="ac">
    <w:name w:val="Subtitle"/>
    <w:basedOn w:val="a"/>
    <w:next w:val="a6"/>
    <w:qFormat/>
    <w:pPr>
      <w:spacing w:after="60"/>
      <w:jc w:val="center"/>
    </w:pPr>
    <w:rPr>
      <w:rFonts w:ascii="Arial" w:hAnsi="Arial" w:cs="Arial"/>
      <w:i/>
      <w:iCs/>
    </w:rPr>
  </w:style>
  <w:style w:type="paragraph" w:customStyle="1" w:styleId="4">
    <w:name w:val="заголовок 4"/>
    <w:basedOn w:val="a"/>
    <w:pPr>
      <w:keepNext/>
    </w:pPr>
    <w:rPr>
      <w:rFonts w:ascii="Bookman Old Style" w:hAnsi="Bookman Old Style" w:cs="Bookman Old Style"/>
      <w:b/>
      <w:bCs/>
      <w:i/>
      <w:iCs/>
      <w:sz w:val="44"/>
      <w:szCs w:val="44"/>
    </w:rPr>
  </w:style>
  <w:style w:type="paragraph" w:styleId="ad">
    <w:name w:val="header"/>
    <w:basedOn w:val="a"/>
    <w:link w:val="ae"/>
    <w:uiPriority w:val="99"/>
    <w:unhideWhenUsed/>
    <w:rsid w:val="00B838D4"/>
    <w:pPr>
      <w:tabs>
        <w:tab w:val="center" w:pos="4677"/>
        <w:tab w:val="right" w:pos="9355"/>
      </w:tabs>
    </w:pPr>
    <w:rPr>
      <w:rFonts w:cs="Mangal"/>
      <w:szCs w:val="21"/>
    </w:rPr>
  </w:style>
  <w:style w:type="character" w:customStyle="1" w:styleId="ae">
    <w:name w:val="Верхний колонтитул Знак"/>
    <w:link w:val="ad"/>
    <w:uiPriority w:val="99"/>
    <w:rsid w:val="00B838D4"/>
    <w:rPr>
      <w:rFonts w:ascii="Liberation Serif" w:eastAsia="Noto Sans CJK SC Regular" w:hAnsi="Liberation Serif" w:cs="Mangal"/>
      <w:kern w:val="1"/>
      <w:sz w:val="24"/>
      <w:szCs w:val="21"/>
      <w:lang w:eastAsia="zh-CN" w:bidi="hi-IN"/>
    </w:rPr>
  </w:style>
  <w:style w:type="paragraph" w:styleId="af">
    <w:name w:val="footer"/>
    <w:basedOn w:val="a"/>
    <w:link w:val="af0"/>
    <w:uiPriority w:val="99"/>
    <w:unhideWhenUsed/>
    <w:rsid w:val="00B838D4"/>
    <w:pPr>
      <w:tabs>
        <w:tab w:val="center" w:pos="4677"/>
        <w:tab w:val="right" w:pos="9355"/>
      </w:tabs>
    </w:pPr>
    <w:rPr>
      <w:rFonts w:cs="Mangal"/>
      <w:szCs w:val="21"/>
    </w:rPr>
  </w:style>
  <w:style w:type="character" w:customStyle="1" w:styleId="af0">
    <w:name w:val="Нижний колонтитул Знак"/>
    <w:link w:val="af"/>
    <w:uiPriority w:val="99"/>
    <w:rsid w:val="00B838D4"/>
    <w:rPr>
      <w:rFonts w:ascii="Liberation Serif" w:eastAsia="Noto Sans CJK SC Regular" w:hAnsi="Liberation Serif" w:cs="Mangal"/>
      <w:kern w:val="1"/>
      <w:sz w:val="24"/>
      <w:szCs w:val="21"/>
      <w:lang w:eastAsia="zh-CN" w:bidi="hi-IN"/>
    </w:rPr>
  </w:style>
  <w:style w:type="paragraph" w:styleId="af1">
    <w:name w:val="Balloon Text"/>
    <w:basedOn w:val="a"/>
    <w:link w:val="af2"/>
    <w:uiPriority w:val="99"/>
    <w:semiHidden/>
    <w:unhideWhenUsed/>
    <w:rsid w:val="00E351CD"/>
    <w:rPr>
      <w:rFonts w:ascii="Tahoma" w:hAnsi="Tahoma" w:cs="Mangal"/>
      <w:sz w:val="16"/>
      <w:szCs w:val="14"/>
    </w:rPr>
  </w:style>
  <w:style w:type="character" w:customStyle="1" w:styleId="af2">
    <w:name w:val="Текст выноски Знак"/>
    <w:link w:val="af1"/>
    <w:uiPriority w:val="99"/>
    <w:semiHidden/>
    <w:rsid w:val="00E351CD"/>
    <w:rPr>
      <w:rFonts w:ascii="Tahoma" w:eastAsia="Noto Sans CJK SC Regular"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Liberation Serif" w:eastAsia="Noto Sans CJK SC Regular" w:hAnsi="Liberation Serif" w:cs="Lohit Devanagari"/>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lang/>
    </w:rPr>
  </w:style>
  <w:style w:type="character" w:customStyle="1" w:styleId="a4">
    <w:name w:val="Маркери списку"/>
    <w:rPr>
      <w:rFonts w:ascii="OpenSymbol" w:eastAsia="OpenSymbol" w:hAnsi="OpenSymbol" w:cs="OpenSymbol"/>
    </w:rPr>
  </w:style>
  <w:style w:type="paragraph" w:customStyle="1" w:styleId="a5">
    <w:name w:val="Заголовок"/>
    <w:basedOn w:val="a"/>
    <w:next w:val="a6"/>
    <w:pPr>
      <w:keepNext/>
      <w:spacing w:before="240" w:after="120"/>
    </w:pPr>
    <w:rPr>
      <w:rFonts w:ascii="Liberation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a9">
    <w:name w:val="Покажчик"/>
    <w:basedOn w:val="a"/>
    <w:pPr>
      <w:suppressLineNumbers/>
    </w:pPr>
  </w:style>
  <w:style w:type="paragraph" w:customStyle="1" w:styleId="aa">
    <w:name w:val="Вміст таблиці"/>
    <w:basedOn w:val="a"/>
    <w:pPr>
      <w:suppressLineNumbers/>
    </w:pPr>
  </w:style>
  <w:style w:type="paragraph" w:customStyle="1" w:styleId="ab">
    <w:name w:val="Заголовок таблиці"/>
    <w:basedOn w:val="aa"/>
    <w:pPr>
      <w:jc w:val="center"/>
    </w:pPr>
    <w:rPr>
      <w:b/>
      <w:bCs/>
    </w:rPr>
  </w:style>
  <w:style w:type="paragraph" w:styleId="ac">
    <w:name w:val="Subtitle"/>
    <w:basedOn w:val="a"/>
    <w:next w:val="a6"/>
    <w:qFormat/>
    <w:pPr>
      <w:spacing w:after="60"/>
      <w:jc w:val="center"/>
    </w:pPr>
    <w:rPr>
      <w:rFonts w:ascii="Arial" w:hAnsi="Arial" w:cs="Arial"/>
      <w:i/>
      <w:iCs/>
    </w:rPr>
  </w:style>
  <w:style w:type="paragraph" w:customStyle="1" w:styleId="4">
    <w:name w:val="заголовок 4"/>
    <w:basedOn w:val="a"/>
    <w:pPr>
      <w:keepNext/>
    </w:pPr>
    <w:rPr>
      <w:rFonts w:ascii="Bookman Old Style" w:hAnsi="Bookman Old Style" w:cs="Bookman Old Style"/>
      <w:b/>
      <w:bCs/>
      <w:i/>
      <w:iCs/>
      <w:sz w:val="44"/>
      <w:szCs w:val="44"/>
    </w:rPr>
  </w:style>
  <w:style w:type="paragraph" w:styleId="ad">
    <w:name w:val="header"/>
    <w:basedOn w:val="a"/>
    <w:link w:val="ae"/>
    <w:uiPriority w:val="99"/>
    <w:unhideWhenUsed/>
    <w:rsid w:val="00B838D4"/>
    <w:pPr>
      <w:tabs>
        <w:tab w:val="center" w:pos="4677"/>
        <w:tab w:val="right" w:pos="9355"/>
      </w:tabs>
    </w:pPr>
    <w:rPr>
      <w:rFonts w:cs="Mangal"/>
      <w:szCs w:val="21"/>
    </w:rPr>
  </w:style>
  <w:style w:type="character" w:customStyle="1" w:styleId="ae">
    <w:name w:val="Верхний колонтитул Знак"/>
    <w:link w:val="ad"/>
    <w:uiPriority w:val="99"/>
    <w:rsid w:val="00B838D4"/>
    <w:rPr>
      <w:rFonts w:ascii="Liberation Serif" w:eastAsia="Noto Sans CJK SC Regular" w:hAnsi="Liberation Serif" w:cs="Mangal"/>
      <w:kern w:val="1"/>
      <w:sz w:val="24"/>
      <w:szCs w:val="21"/>
      <w:lang w:eastAsia="zh-CN" w:bidi="hi-IN"/>
    </w:rPr>
  </w:style>
  <w:style w:type="paragraph" w:styleId="af">
    <w:name w:val="footer"/>
    <w:basedOn w:val="a"/>
    <w:link w:val="af0"/>
    <w:uiPriority w:val="99"/>
    <w:unhideWhenUsed/>
    <w:rsid w:val="00B838D4"/>
    <w:pPr>
      <w:tabs>
        <w:tab w:val="center" w:pos="4677"/>
        <w:tab w:val="right" w:pos="9355"/>
      </w:tabs>
    </w:pPr>
    <w:rPr>
      <w:rFonts w:cs="Mangal"/>
      <w:szCs w:val="21"/>
    </w:rPr>
  </w:style>
  <w:style w:type="character" w:customStyle="1" w:styleId="af0">
    <w:name w:val="Нижний колонтитул Знак"/>
    <w:link w:val="af"/>
    <w:uiPriority w:val="99"/>
    <w:rsid w:val="00B838D4"/>
    <w:rPr>
      <w:rFonts w:ascii="Liberation Serif" w:eastAsia="Noto Sans CJK SC Regular" w:hAnsi="Liberation Serif" w:cs="Mangal"/>
      <w:kern w:val="1"/>
      <w:sz w:val="24"/>
      <w:szCs w:val="21"/>
      <w:lang w:eastAsia="zh-CN" w:bidi="hi-IN"/>
    </w:rPr>
  </w:style>
  <w:style w:type="paragraph" w:styleId="af1">
    <w:name w:val="Balloon Text"/>
    <w:basedOn w:val="a"/>
    <w:link w:val="af2"/>
    <w:uiPriority w:val="99"/>
    <w:semiHidden/>
    <w:unhideWhenUsed/>
    <w:rsid w:val="00E351CD"/>
    <w:rPr>
      <w:rFonts w:ascii="Tahoma" w:hAnsi="Tahoma" w:cs="Mangal"/>
      <w:sz w:val="16"/>
      <w:szCs w:val="14"/>
    </w:rPr>
  </w:style>
  <w:style w:type="character" w:customStyle="1" w:styleId="af2">
    <w:name w:val="Текст выноски Знак"/>
    <w:link w:val="af1"/>
    <w:uiPriority w:val="99"/>
    <w:semiHidden/>
    <w:rsid w:val="00E351CD"/>
    <w:rPr>
      <w:rFonts w:ascii="Tahoma" w:eastAsia="Noto Sans CJK SC Regular"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77-2020-&#1087;?find=1&amp;text=&#1087;&#1086;&#1088;&#1103;&#107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3733</Words>
  <Characters>2129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ДСП</Company>
  <LinksUpToDate>false</LinksUpToDate>
  <CharactersWithSpaces>5851</CharactersWithSpaces>
  <SharedDoc>false</SharedDoc>
  <HLinks>
    <vt:vector size="6" baseType="variant">
      <vt:variant>
        <vt:i4>3604514</vt:i4>
      </vt:variant>
      <vt:variant>
        <vt:i4>0</vt:i4>
      </vt:variant>
      <vt:variant>
        <vt:i4>0</vt:i4>
      </vt:variant>
      <vt:variant>
        <vt:i4>5</vt:i4>
      </vt:variant>
      <vt:variant>
        <vt:lpwstr>https://zakon.rada.gov.ua/laws/show/177-2020-п?find=1&amp;text=поряд</vt:lpwstr>
      </vt:variant>
      <vt:variant>
        <vt:lpwstr>w111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k2031</dc:creator>
  <cp:lastModifiedBy>k2031</cp:lastModifiedBy>
  <cp:revision>2</cp:revision>
  <cp:lastPrinted>2023-02-06T10:36:00Z</cp:lastPrinted>
  <dcterms:created xsi:type="dcterms:W3CDTF">2023-02-06T12:06:00Z</dcterms:created>
  <dcterms:modified xsi:type="dcterms:W3CDTF">2023-02-06T12:06:00Z</dcterms:modified>
</cp:coreProperties>
</file>