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442F">
      <w:pPr>
        <w:pStyle w:val="af2"/>
        <w:ind w:firstLine="5387"/>
        <w:jc w:val="both"/>
      </w:pPr>
      <w:r>
        <w:rPr>
          <w:sz w:val="28"/>
          <w:szCs w:val="28"/>
          <w:lang w:val="uk-UA"/>
        </w:rPr>
        <w:t>Додаток 10</w:t>
      </w:r>
    </w:p>
    <w:p w:rsidR="00000000" w:rsidRDefault="006F442F">
      <w:pPr>
        <w:pStyle w:val="af2"/>
        <w:ind w:firstLine="5387"/>
        <w:jc w:val="both"/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000000" w:rsidRDefault="006F442F">
      <w:pPr>
        <w:pStyle w:val="af2"/>
        <w:ind w:firstLine="5387"/>
        <w:jc w:val="both"/>
      </w:pPr>
      <w:r>
        <w:rPr>
          <w:sz w:val="28"/>
          <w:szCs w:val="28"/>
          <w:lang w:val="uk-UA"/>
        </w:rPr>
        <w:t>__</w:t>
      </w:r>
      <w:r w:rsidRPr="006F442F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_____ № ___</w:t>
      </w:r>
      <w:r w:rsidRPr="006F442F">
        <w:rPr>
          <w:sz w:val="28"/>
          <w:szCs w:val="28"/>
          <w:u w:val="single"/>
          <w:lang w:val="uk-UA"/>
        </w:rPr>
        <w:t>44-ра</w:t>
      </w:r>
      <w:r>
        <w:rPr>
          <w:sz w:val="28"/>
          <w:szCs w:val="28"/>
          <w:lang w:val="uk-UA"/>
        </w:rPr>
        <w:t>___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ПОЛОЖЕННЯ</w:t>
      </w: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про відділ по роботі з  внутрішньо переміщеними особами</w:t>
      </w: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департаменту соціальної політики Луцької міської ради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6F442F" w:rsidRDefault="006F442F">
      <w:pPr>
        <w:pStyle w:val="af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6F442F" w:rsidRDefault="006F442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1.1. Відділ по роботі з внутрішньо п</w:t>
      </w:r>
      <w:r>
        <w:rPr>
          <w:sz w:val="28"/>
          <w:szCs w:val="28"/>
          <w:lang w:val="uk-UA"/>
        </w:rPr>
        <w:t>ереміщени</w:t>
      </w:r>
      <w:bookmarkStart w:id="0" w:name="_GoBack"/>
      <w:bookmarkEnd w:id="0"/>
      <w:r>
        <w:rPr>
          <w:sz w:val="28"/>
          <w:szCs w:val="28"/>
          <w:lang w:val="uk-UA"/>
        </w:rPr>
        <w:t>ми осіби (далі - Відділ) є структурним підрозділом департаменту соціальної політики Луцької міської ради (далі – Департамент).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1.2. Відділ підконтрольний і підзвітний директору департаменту та заступнику директора  департаменту відповідно до  розп</w:t>
      </w:r>
      <w:r>
        <w:rPr>
          <w:sz w:val="28"/>
          <w:szCs w:val="28"/>
          <w:lang w:val="uk-UA"/>
        </w:rPr>
        <w:t>оділу обов’язків.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1.3. Положення про Відділ затверджується розпорядженням міського голови. 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1.4. У своїй діяльності Відділ керується Конституцією та законами України, постановами Верховної Ради України, декретами, постановами і розпорядженнями Кабінету Мін</w:t>
      </w:r>
      <w:r>
        <w:rPr>
          <w:sz w:val="28"/>
          <w:szCs w:val="28"/>
          <w:lang w:val="uk-UA"/>
        </w:rPr>
        <w:t>істрів України, актами Президента України, рішеннями Луцької міської ради і виконавчого комітету, розпорядженнями міського голови, наказами директора Департаменту, іншими нормативними актами,  Інструкцією з діловодства,  Положенням про департамент соціальн</w:t>
      </w:r>
      <w:r>
        <w:rPr>
          <w:sz w:val="28"/>
          <w:szCs w:val="28"/>
          <w:lang w:val="uk-UA"/>
        </w:rPr>
        <w:t>ої політики Луцької міської ради  та даним Положенням.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1.5. На посади начальника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, заступника начальника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та спеціалістів Відділу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призначаються особи, що мають відповідну освіту, стаж, знання та вміння, необхідні для роботи в органах місцевог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о самоврядування згідно з чинним законодавством.</w:t>
      </w:r>
      <w:r>
        <w:rPr>
          <w:sz w:val="28"/>
          <w:szCs w:val="28"/>
          <w:lang w:val="uk-UA"/>
        </w:rPr>
        <w:t xml:space="preserve"> Усі працівники Відділу призначаються на посаду та звільняються з посади міським головою.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1.6. Департамент створює умови для нормальної роботи та підвищення кваліфікації працівників Відділу, забезпечує їх при</w:t>
      </w:r>
      <w:r>
        <w:rPr>
          <w:sz w:val="28"/>
          <w:szCs w:val="28"/>
          <w:lang w:val="uk-UA"/>
        </w:rPr>
        <w:t>міщенням, телефонним зв’язком, сучасними засобами оргтехніки, транспортом для виконання службових обов'язків, обладнаними місцями схоронності документів, а також законодавчими та іншими нормативно-правовими актами і довідковими матеріалами.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ІІ. МЕТА ТА ЗА</w:t>
      </w:r>
      <w:r>
        <w:rPr>
          <w:b/>
          <w:sz w:val="28"/>
          <w:szCs w:val="28"/>
          <w:lang w:val="uk-UA"/>
        </w:rPr>
        <w:t>ВДАННЯ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2.1. Основною метою  Відділу є забезпечення виконання встановлених законодавством гарантій соціального захисту населення  у Луцькій міській  об’єднаній територіальній громаді.  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ab/>
        <w:t>2.2. Завданнями Відділу є: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lastRenderedPageBreak/>
        <w:t>2.2.1. Призначення, організація нарахуванн</w:t>
      </w:r>
      <w:r>
        <w:rPr>
          <w:sz w:val="28"/>
          <w:szCs w:val="28"/>
          <w:lang w:val="uk-UA"/>
        </w:rPr>
        <w:t>я та виплати допомоги на проживання внутрішньо переміщеним особам;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2.2.2. Призначення, розрахунок компенсації витрат особам за тимчасове розміщення (перебування) внутрішньо переміщених осіб.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2.2.3.Призначення, розрахунок</w:t>
      </w:r>
      <w:r>
        <w:rPr>
          <w:spacing w:val="5"/>
          <w:sz w:val="28"/>
          <w:szCs w:val="28"/>
          <w:lang w:val="uk-UA"/>
        </w:rPr>
        <w:t xml:space="preserve"> компенсації за спожиті комунальні п</w:t>
      </w:r>
      <w:r>
        <w:rPr>
          <w:spacing w:val="5"/>
          <w:sz w:val="28"/>
          <w:szCs w:val="28"/>
          <w:lang w:val="uk-UA"/>
        </w:rPr>
        <w:t xml:space="preserve">ослуги під час розміщення внутрішньо переміщених осіб у будівлях (приміщеннях) приватної власності у період воєнного стану. </w:t>
      </w:r>
      <w:r>
        <w:rPr>
          <w:spacing w:val="1"/>
          <w:sz w:val="28"/>
          <w:szCs w:val="28"/>
          <w:lang w:val="uk-UA"/>
        </w:rPr>
        <w:t xml:space="preserve">  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2.3. Відділ при виконанні покладених на нього завдань співпрацює із структурними підрозділами органів виконавчої влади різних рів</w:t>
      </w:r>
      <w:r>
        <w:rPr>
          <w:sz w:val="28"/>
          <w:szCs w:val="28"/>
          <w:lang w:val="uk-UA"/>
        </w:rPr>
        <w:t>нів, виконавчими органами міської ради підприємствами, установами, організаціями міста, об’єднаннями громадян та  структурними підрозділами Департаменту.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III. ПОВНОВАЖЕННЯ ВІДДІЛУ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3.1.У межах своєї компетенції Відділ: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3.1.1. Проведення перевірки відомост</w:t>
      </w:r>
      <w:r>
        <w:rPr>
          <w:sz w:val="28"/>
          <w:szCs w:val="28"/>
          <w:lang w:val="uk-UA"/>
        </w:rPr>
        <w:t xml:space="preserve">ей, наведених у повідомленні про розміщення або припинення розміщення внутрішньо переміщених осіб, у заяві про отримання компенсації витрат за розміщення внутрішньо переміщених осіб та у заяві про надання </w:t>
      </w:r>
      <w:r>
        <w:rPr>
          <w:spacing w:val="5"/>
          <w:sz w:val="28"/>
          <w:szCs w:val="28"/>
          <w:lang w:val="uk-UA"/>
        </w:rPr>
        <w:t>компенсації за спожиті комунальні послуги під час р</w:t>
      </w:r>
      <w:r>
        <w:rPr>
          <w:spacing w:val="5"/>
          <w:sz w:val="28"/>
          <w:szCs w:val="28"/>
          <w:lang w:val="uk-UA"/>
        </w:rPr>
        <w:t>озміщення внутрішньо переміщених осіб у будівлях (приміщеннях) приватної власності у період воєнного стану</w:t>
      </w:r>
      <w:r>
        <w:rPr>
          <w:sz w:val="28"/>
          <w:szCs w:val="28"/>
          <w:lang w:val="uk-UA"/>
        </w:rPr>
        <w:t>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3.1.2.  Забезпечення достовірності та своєчасності внесення інформації та повноти даних до інформаційно-аналітичної системи обліку даних, пов’язаних</w:t>
      </w:r>
      <w:r>
        <w:rPr>
          <w:sz w:val="28"/>
          <w:szCs w:val="28"/>
          <w:lang w:val="uk-UA"/>
        </w:rPr>
        <w:t xml:space="preserve"> з компенсацією витрат за тимчасове розміщення (перебування) внутрішньо переміщених осіб;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3.1.3. Розрахунок суми компенсації особам, що безоплатно розмістили внутрішньо переміщених осіб та розрахунок  суми  </w:t>
      </w:r>
      <w:r>
        <w:rPr>
          <w:spacing w:val="5"/>
          <w:sz w:val="28"/>
          <w:szCs w:val="28"/>
          <w:lang w:val="uk-UA"/>
        </w:rPr>
        <w:t>компенсації за спожиті комунальні послуги під час</w:t>
      </w:r>
      <w:r>
        <w:rPr>
          <w:spacing w:val="5"/>
          <w:sz w:val="28"/>
          <w:szCs w:val="28"/>
          <w:lang w:val="uk-UA"/>
        </w:rPr>
        <w:t xml:space="preserve"> розміщення внутрішньо переміщених осіб у будівлях (приміщеннях) приватної власності у період воєнного стану</w:t>
      </w:r>
      <w:r>
        <w:rPr>
          <w:sz w:val="28"/>
          <w:szCs w:val="28"/>
          <w:lang w:val="uk-UA"/>
        </w:rPr>
        <w:t>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3.1.4. Приймає рішення про відмову у виплаті компенсації, у разі встановлення факту наведення у заяві недостовірної інформації;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3.1.5. Узагальненн</w:t>
      </w:r>
      <w:r>
        <w:rPr>
          <w:sz w:val="28"/>
          <w:szCs w:val="28"/>
          <w:lang w:val="uk-UA"/>
        </w:rPr>
        <w:t>я та формування в інформаційно-аналітичній системі переліку осіб, що безоплатно розмістили внутрішньо переміщених осіб;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3.1.6.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Проведення перевірки відомостей, зазначених внутрішньо переміщеною особою в заяві про надання допомоги на проживання внутрішньо п</w:t>
      </w:r>
      <w:r>
        <w:rPr>
          <w:sz w:val="28"/>
          <w:szCs w:val="28"/>
          <w:lang w:val="uk-UA"/>
        </w:rPr>
        <w:t>ереміщеним особам;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3.1.7. Коригування інформації про виявлені помилки у персональних даних одержувача, даних номера банківського рахунка (за стандартом IBAN) або категорії одержувача (працездатна особа, дитина, особа з інвалідністю) та здійснює перерахунок</w:t>
      </w:r>
      <w:r>
        <w:rPr>
          <w:sz w:val="28"/>
          <w:szCs w:val="28"/>
          <w:lang w:val="uk-UA"/>
        </w:rPr>
        <w:t xml:space="preserve"> розміру допомоги;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lastRenderedPageBreak/>
        <w:t>3.1.8. Здійснює призначення допомоги на проживання внутрішньо переміщеним особам;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3.1.9. Проводить розрахунки розмірів допомоги на проживання внутрішньо переміщеним особам;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3.1.10. </w:t>
      </w:r>
      <w:r>
        <w:rPr>
          <w:rStyle w:val="FontStyle11"/>
          <w:spacing w:val="0"/>
          <w:sz w:val="28"/>
          <w:szCs w:val="28"/>
          <w:lang w:val="uk-UA"/>
        </w:rPr>
        <w:t>Приймає рішення про призначення (не призначення) допомог</w:t>
      </w:r>
      <w:r>
        <w:rPr>
          <w:rStyle w:val="FontStyle11"/>
          <w:spacing w:val="0"/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на проживання внутрішньо переміщеним особам;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3.1.11. Формує список внутрішньо переміщених осіб, які звернулися щодо виплати допомоги на проживання;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3.1.12. </w:t>
      </w:r>
      <w:r>
        <w:rPr>
          <w:sz w:val="28"/>
          <w:szCs w:val="28"/>
          <w:highlight w:val="white"/>
          <w:lang w:val="uk-UA"/>
        </w:rPr>
        <w:t>П</w:t>
      </w:r>
      <w:r>
        <w:rPr>
          <w:sz w:val="28"/>
          <w:szCs w:val="28"/>
          <w:lang w:val="uk-UA"/>
        </w:rPr>
        <w:t>рипиняє виплату при виявленні фактів навмисного подання одержувачами допомоги недостовірної інфор</w:t>
      </w:r>
      <w:r>
        <w:rPr>
          <w:sz w:val="28"/>
          <w:szCs w:val="28"/>
          <w:lang w:val="uk-UA"/>
        </w:rPr>
        <w:t>мації;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3.1.13. Формує особові справи з документів, які надійшли з відділу прийому громадян Департаменту.</w:t>
      </w:r>
    </w:p>
    <w:p w:rsidR="00000000" w:rsidRDefault="006F442F">
      <w:pPr>
        <w:tabs>
          <w:tab w:val="left" w:pos="0"/>
        </w:tabs>
        <w:suppressAutoHyphens w:val="0"/>
        <w:ind w:firstLine="567"/>
        <w:jc w:val="both"/>
      </w:pPr>
      <w:r>
        <w:rPr>
          <w:sz w:val="28"/>
          <w:szCs w:val="28"/>
          <w:lang w:val="uk-UA"/>
        </w:rPr>
        <w:t xml:space="preserve">3.1.14. Готує  та направляє особові справи на перевірку у разі потреби. 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3.1.15. Розглядає в установленому порядку листи, заяви, скарги та звернення гр</w:t>
      </w:r>
      <w:r>
        <w:rPr>
          <w:sz w:val="28"/>
          <w:szCs w:val="28"/>
          <w:lang w:val="uk-UA"/>
        </w:rPr>
        <w:t>омадян, забезпечує виконання документів.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3.1.16. Проводить інвентаризацію особових справ одержувачів. 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3.1.17. В межах своєї компетенції проводить розробку та експертизу нормативно-правових актів (рішень міської ради, виконавчого комітету, розпоряджень міс</w:t>
      </w:r>
      <w:r>
        <w:rPr>
          <w:sz w:val="28"/>
          <w:szCs w:val="28"/>
          <w:lang w:val="uk-UA"/>
        </w:rPr>
        <w:t>ького голови).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3.1.18. Готує звіти за результатами роботи Відділу.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3.1.19. Здійснює інші повноваження, покладені на Відділ відповідно до чинного законодавства.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Pr="006F442F" w:rsidRDefault="006F442F">
      <w:pPr>
        <w:pStyle w:val="af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ІV. ВІДДІЛ МАЄ ПРАВО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6F442F" w:rsidRDefault="006F442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4.1. Одержувати в установленому порядку від інших структурних підрозділів</w:t>
      </w:r>
      <w:r>
        <w:rPr>
          <w:sz w:val="28"/>
          <w:szCs w:val="28"/>
          <w:lang w:val="uk-UA"/>
        </w:rPr>
        <w:t xml:space="preserve"> Департаменту,  підприємств, установ та організацій усіх форм власності інформацію, документи та інші матеріали, необхідні для виконання покладених на нього завдань і функцій.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4.2. Подавати заступнику директора Департаменту пропозиції по організації роботи</w:t>
      </w:r>
      <w:r>
        <w:rPr>
          <w:sz w:val="28"/>
          <w:szCs w:val="28"/>
          <w:lang w:val="uk-UA"/>
        </w:rPr>
        <w:t xml:space="preserve"> Відділу.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4.3. Залучати спеціалістів інших структурних підрозділів Департаменту для розгляду питань, розробки та здійснення заходів що належать до компетенції Відділу.</w:t>
      </w:r>
    </w:p>
    <w:p w:rsidR="00000000" w:rsidRDefault="006F442F">
      <w:pPr>
        <w:pStyle w:val="af2"/>
        <w:jc w:val="center"/>
        <w:rPr>
          <w:sz w:val="28"/>
          <w:szCs w:val="28"/>
          <w:lang w:val="uk-UA"/>
        </w:rPr>
      </w:pPr>
    </w:p>
    <w:p w:rsidR="00000000" w:rsidRPr="006F442F" w:rsidRDefault="006F442F">
      <w:pPr>
        <w:pStyle w:val="af2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V. КЕРІВНИЦТВО ВІДДІЛОМ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Pr="006F442F" w:rsidRDefault="006F442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5.1. Відділ очолює начальник Відділу.</w:t>
      </w:r>
    </w:p>
    <w:p w:rsidR="00000000" w:rsidRPr="006F442F" w:rsidRDefault="006F442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5.2. Начальник Відділу:</w:t>
      </w:r>
    </w:p>
    <w:p w:rsidR="00000000" w:rsidRPr="006F442F" w:rsidRDefault="006F442F">
      <w:pPr>
        <w:pStyle w:val="af2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 здійснює керівництво діяльністю Відділу;</w:t>
      </w:r>
    </w:p>
    <w:p w:rsidR="00000000" w:rsidRDefault="006F442F">
      <w:pPr>
        <w:pStyle w:val="af2"/>
        <w:jc w:val="both"/>
      </w:pPr>
      <w:r>
        <w:rPr>
          <w:sz w:val="28"/>
          <w:szCs w:val="28"/>
          <w:lang w:val="uk-UA"/>
        </w:rPr>
        <w:lastRenderedPageBreak/>
        <w:tab/>
        <w:t xml:space="preserve">  несе персональну відповідальність за невиконання або неналежне виконання покладених на Відділ завдань, реалізацію його повноважень, дотримання трудової дисципліни працівниками Відділу;</w:t>
      </w:r>
    </w:p>
    <w:p w:rsidR="00000000" w:rsidRDefault="006F442F">
      <w:pPr>
        <w:pStyle w:val="af2"/>
        <w:jc w:val="both"/>
      </w:pPr>
      <w:r>
        <w:rPr>
          <w:sz w:val="28"/>
          <w:szCs w:val="28"/>
          <w:lang w:val="uk-UA"/>
        </w:rPr>
        <w:tab/>
        <w:t xml:space="preserve"> здійснює інші повноваж</w:t>
      </w:r>
      <w:r>
        <w:rPr>
          <w:sz w:val="28"/>
          <w:szCs w:val="28"/>
          <w:lang w:val="uk-UA"/>
        </w:rPr>
        <w:t>ення, покладені на нього відповідно до чинного законодавства.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5.3. Працівники Відділу діють в межах повноважень, визначених посадовими інструкціями, які затверджуються міським головою.</w:t>
      </w:r>
    </w:p>
    <w:p w:rsidR="00000000" w:rsidRDefault="006F442F">
      <w:pPr>
        <w:pStyle w:val="af2"/>
        <w:ind w:firstLine="567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VІ. ВІДПОВІДАЛЬНІСТЬ  ВІДДІЛУ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6.1. Працівники Відділу несуть відповід</w:t>
      </w:r>
      <w:r>
        <w:rPr>
          <w:sz w:val="28"/>
          <w:szCs w:val="28"/>
          <w:lang w:val="uk-UA"/>
        </w:rPr>
        <w:t xml:space="preserve">альність за неналежне виконання покладених на Відділ даним положенням повноважень у порядку, передбаченому чинним законодавством України. Повноваження Відділу розподіляються між начальником, заступником начальника, спеціалістами Відділу та закріплюються у </w:t>
      </w:r>
      <w:r>
        <w:rPr>
          <w:sz w:val="28"/>
          <w:szCs w:val="28"/>
          <w:lang w:val="uk-UA"/>
        </w:rPr>
        <w:t>посадових інструкціях.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6.2. 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center"/>
      </w:pPr>
      <w:r>
        <w:rPr>
          <w:b/>
          <w:sz w:val="28"/>
          <w:szCs w:val="28"/>
          <w:lang w:val="uk-UA"/>
        </w:rPr>
        <w:t>VІІ. ЗАКЛЮЧНІ ПОЛОЖЕННЯ</w:t>
      </w:r>
    </w:p>
    <w:p w:rsidR="00000000" w:rsidRDefault="006F442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7.1. Припинення діяльності Відділу здійснюється у встановлено</w:t>
      </w:r>
      <w:r>
        <w:rPr>
          <w:sz w:val="28"/>
          <w:szCs w:val="28"/>
          <w:lang w:val="uk-UA"/>
        </w:rPr>
        <w:t>му порядку відповідно до вимог чинного законодавства України.</w:t>
      </w:r>
    </w:p>
    <w:p w:rsidR="00000000" w:rsidRDefault="006F442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7.2. Зміни і доповнення до цього Положення вносяться в порядку, встановленому для його прийняття.</w:t>
      </w: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both"/>
        <w:rPr>
          <w:sz w:val="28"/>
          <w:szCs w:val="28"/>
          <w:lang w:val="uk-UA"/>
        </w:rPr>
      </w:pPr>
    </w:p>
    <w:p w:rsidR="00000000" w:rsidRDefault="006F442F">
      <w:pPr>
        <w:pStyle w:val="af2"/>
        <w:jc w:val="both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6F442F">
      <w:pPr>
        <w:pStyle w:val="af2"/>
        <w:jc w:val="both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Юрій  ВЕРБИЧ</w:t>
      </w:r>
    </w:p>
    <w:sectPr w:rsidR="00000000">
      <w:headerReference w:type="default" r:id="rId8"/>
      <w:headerReference w:type="first" r:id="rId9"/>
      <w:pgSz w:w="11906" w:h="16838"/>
      <w:pgMar w:top="851" w:right="567" w:bottom="1701" w:left="1701" w:header="709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42F">
      <w:r>
        <w:separator/>
      </w:r>
    </w:p>
  </w:endnote>
  <w:endnote w:type="continuationSeparator" w:id="0">
    <w:p w:rsidR="00000000" w:rsidRDefault="006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42F">
      <w:r>
        <w:separator/>
      </w:r>
    </w:p>
  </w:footnote>
  <w:footnote w:type="continuationSeparator" w:id="0">
    <w:p w:rsidR="00000000" w:rsidRDefault="006F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42F">
    <w:pPr>
      <w:pStyle w:val="ae"/>
      <w:jc w:val="center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8275"/>
              <wp:effectExtent l="5715" t="635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442F">
                          <w:pPr>
                            <w:pStyle w:val="ae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0" tIns="6350" rIns="6350" bIns="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" stroked="f">
              <v:fill opacity="0"/>
              <v:textbox inset=".5pt,.5pt,.5pt,.5pt">
                <w:txbxContent>
                  <w:p w:rsidR="00000000" w:rsidRDefault="006F442F">
                    <w:pPr>
                      <w:pStyle w:val="ae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6F442F">
    <w:pPr>
      <w:pStyle w:val="ae"/>
    </w:pPr>
    <w:r>
      <w:rPr>
        <w:rFonts w:eastAsia="Times New Roman"/>
        <w:lang w:val="uk-UA"/>
      </w:rPr>
      <w:t xml:space="preserve"> </w:t>
    </w:r>
    <w:r>
      <w:rPr>
        <w:rFonts w:eastAsia="Times New Roman"/>
        <w:lang w:val="uk-UA"/>
      </w:rPr>
      <w:t xml:space="preserve">                                                                                                             </w:t>
    </w:r>
    <w:r>
      <w:rPr>
        <w:sz w:val="28"/>
        <w:szCs w:val="28"/>
        <w:lang w:val="uk-UA"/>
      </w:rPr>
      <w:t xml:space="preserve">Продовження додатка 10 </w:t>
    </w:r>
  </w:p>
  <w:p w:rsidR="00000000" w:rsidRDefault="006F442F">
    <w:pPr>
      <w:pStyle w:val="ae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42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2F"/>
    <w:rsid w:val="006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auto"/>
      <w:spacing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WW8Num2z0">
    <w:name w:val="WW8Num2z0"/>
    <w:rPr>
      <w:rFonts w:ascii="Times New Roman" w:hAnsi="Times New Roman" w:cs="Times New Roman"/>
      <w:color w:val="auto"/>
      <w:spacing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pacing w:val="0"/>
      <w:sz w:val="28"/>
      <w:szCs w:val="28"/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5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6">
    <w:name w:val="page number"/>
    <w:basedOn w:val="2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120">
    <w:name w:val="Указатель12"/>
    <w:basedOn w:val="a"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110">
    <w:name w:val="Указатель11"/>
    <w:basedOn w:val="a"/>
    <w:pPr>
      <w:suppressLineNumbers/>
    </w:pPr>
    <w:rPr>
      <w:rFonts w:cs="Lucida San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100">
    <w:name w:val="Указатель10"/>
    <w:basedOn w:val="a"/>
    <w:pPr>
      <w:suppressLineNumbers/>
    </w:pPr>
    <w:rPr>
      <w:rFonts w:cs="Lucida San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91">
    <w:name w:val="Указатель9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71">
    <w:name w:val="Указатель7"/>
    <w:basedOn w:val="a"/>
    <w:pPr>
      <w:suppressLineNumbers/>
    </w:pPr>
    <w:rPr>
      <w:rFonts w:cs="Lucida Sans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1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7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2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3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auto"/>
      <w:spacing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WW8Num2z0">
    <w:name w:val="WW8Num2z0"/>
    <w:rPr>
      <w:rFonts w:ascii="Times New Roman" w:hAnsi="Times New Roman" w:cs="Times New Roman"/>
      <w:color w:val="auto"/>
      <w:spacing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pacing w:val="0"/>
      <w:sz w:val="28"/>
      <w:szCs w:val="28"/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5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6">
    <w:name w:val="page number"/>
    <w:basedOn w:val="2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120">
    <w:name w:val="Указатель12"/>
    <w:basedOn w:val="a"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110">
    <w:name w:val="Указатель11"/>
    <w:basedOn w:val="a"/>
    <w:pPr>
      <w:suppressLineNumbers/>
    </w:pPr>
    <w:rPr>
      <w:rFonts w:cs="Lucida San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100">
    <w:name w:val="Указатель10"/>
    <w:basedOn w:val="a"/>
    <w:pPr>
      <w:suppressLineNumbers/>
    </w:pPr>
    <w:rPr>
      <w:rFonts w:cs="Lucida San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91">
    <w:name w:val="Указатель9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71">
    <w:name w:val="Указатель7"/>
    <w:basedOn w:val="a"/>
    <w:pPr>
      <w:suppressLineNumbers/>
    </w:pPr>
    <w:rPr>
      <w:rFonts w:cs="Lucida Sans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1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7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2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3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4727</Words>
  <Characters>2695</Characters>
  <Application>Microsoft Office Word</Application>
  <DocSecurity>0</DocSecurity>
  <Lines>22</Lines>
  <Paragraphs>14</Paragraphs>
  <ScaleCrop>false</ScaleCrop>
  <Company>ДСП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2022-12-19T13:56:00Z</dcterms:created>
  <dcterms:modified xsi:type="dcterms:W3CDTF">2022-12-19T13:56:00Z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-298094080</vt:i4>
  </property>
</Properties>
</file>